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2D0BB">
      <w:pPr>
        <w:spacing w:line="600" w:lineRule="exact"/>
        <w:rPr>
          <w:rFonts w:hint="eastAsia" w:ascii="黑体" w:hAnsi="宋体" w:eastAsia="黑体"/>
          <w:szCs w:val="32"/>
        </w:rPr>
      </w:pPr>
      <w:r>
        <w:rPr>
          <w:rFonts w:hint="eastAsia" w:ascii="黑体" w:hAnsi="宋体" w:eastAsia="黑体"/>
          <w:szCs w:val="32"/>
        </w:rPr>
        <w:t>附件</w:t>
      </w:r>
    </w:p>
    <w:p w14:paraId="65B8F2E2">
      <w:pPr>
        <w:spacing w:line="600" w:lineRule="exact"/>
        <w:rPr>
          <w:rFonts w:hint="eastAsia" w:ascii="黑体" w:hAnsi="宋体" w:eastAsia="黑体"/>
          <w:szCs w:val="32"/>
        </w:rPr>
      </w:pPr>
    </w:p>
    <w:p w14:paraId="2B3B69F3">
      <w:pPr>
        <w:spacing w:line="700" w:lineRule="exact"/>
        <w:jc w:val="center"/>
        <w:rPr>
          <w:rFonts w:hint="eastAsia" w:ascii="楷体_GB2312" w:eastAsia="方正小标宋简体"/>
          <w:b/>
          <w:szCs w:val="32"/>
          <w:lang w:val="en-US" w:eastAsia="zh-CN"/>
        </w:rPr>
      </w:pPr>
      <w:r>
        <w:rPr>
          <w:rFonts w:hint="eastAsia" w:ascii="方正小标宋简体" w:hAnsi="宋体" w:eastAsia="方正小标宋简体"/>
          <w:sz w:val="44"/>
          <w:szCs w:val="44"/>
        </w:rPr>
        <w:t>选题</w:t>
      </w:r>
      <w:r>
        <w:rPr>
          <w:rFonts w:hint="eastAsia" w:ascii="方正小标宋简体" w:hAnsi="宋体" w:eastAsia="方正小标宋简体"/>
          <w:sz w:val="44"/>
          <w:szCs w:val="44"/>
          <w:lang w:val="en-US" w:eastAsia="zh-CN"/>
        </w:rPr>
        <w:t>指南</w:t>
      </w:r>
    </w:p>
    <w:p w14:paraId="768EB451">
      <w:pPr>
        <w:spacing w:line="600" w:lineRule="exact"/>
        <w:ind w:firstLine="640" w:firstLineChars="200"/>
        <w:rPr>
          <w:rFonts w:hint="eastAsia" w:ascii="仿宋_GB2312" w:hAnsi="仿宋_GB2312" w:eastAsia="仿宋_GB2312" w:cs="仿宋_GB2312"/>
          <w:szCs w:val="32"/>
        </w:rPr>
      </w:pPr>
    </w:p>
    <w:p w14:paraId="30440F5C">
      <w:pPr>
        <w:pStyle w:val="2"/>
        <w:spacing w:after="0" w:line="600" w:lineRule="exact"/>
        <w:ind w:firstLine="627" w:firstLineChars="196"/>
        <w:rPr>
          <w:rFonts w:hint="default" w:ascii="Times New Roman" w:hAnsi="Times New Roman" w:eastAsia="仿宋_GB2312" w:cs="Times New Roman"/>
        </w:rPr>
      </w:pPr>
      <w:r>
        <w:rPr>
          <w:rFonts w:hint="default" w:ascii="Times New Roman" w:hAnsi="Times New Roman" w:eastAsia="仿宋_GB2312" w:cs="Times New Roman"/>
        </w:rPr>
        <w:t>1.习近平法治思想原创性贡献研究</w:t>
      </w:r>
    </w:p>
    <w:p w14:paraId="5EA73ABA">
      <w:pPr>
        <w:pStyle w:val="2"/>
        <w:spacing w:after="0" w:line="600" w:lineRule="exact"/>
        <w:ind w:firstLine="627" w:firstLineChars="196"/>
        <w:rPr>
          <w:rFonts w:hint="default" w:ascii="Times New Roman" w:hAnsi="Times New Roman" w:eastAsia="仿宋_GB2312" w:cs="Times New Roman"/>
        </w:rPr>
      </w:pPr>
      <w:r>
        <w:rPr>
          <w:rFonts w:hint="default" w:ascii="Times New Roman" w:hAnsi="Times New Roman" w:eastAsia="仿宋_GB2312" w:cs="Times New Roman"/>
        </w:rPr>
        <w:t>2.总体国家安全观研究</w:t>
      </w:r>
    </w:p>
    <w:p w14:paraId="4389CB74">
      <w:pPr>
        <w:pStyle w:val="2"/>
        <w:spacing w:after="0" w:line="600" w:lineRule="exact"/>
        <w:ind w:firstLine="616" w:firstLineChars="200"/>
        <w:rPr>
          <w:rFonts w:hint="default" w:ascii="Times New Roman" w:hAnsi="Times New Roman" w:eastAsia="仿宋_GB2312" w:cs="Times New Roman"/>
        </w:rPr>
      </w:pPr>
      <w:r>
        <w:rPr>
          <w:rFonts w:hint="default" w:ascii="Times New Roman" w:hAnsi="Times New Roman" w:eastAsia="仿宋_GB2312" w:cs="Times New Roman"/>
          <w:spacing w:val="-6"/>
        </w:rPr>
        <w:t>3.</w:t>
      </w:r>
      <w:r>
        <w:rPr>
          <w:rFonts w:hint="default" w:ascii="Times New Roman" w:hAnsi="Times New Roman" w:eastAsia="仿宋_GB2312" w:cs="Times New Roman"/>
          <w:spacing w:val="-17"/>
        </w:rPr>
        <w:t>民营企业内部腐败犯罪的刑事治理难点与权利救济机制研究</w:t>
      </w:r>
    </w:p>
    <w:p w14:paraId="2C1116C7">
      <w:pPr>
        <w:pStyle w:val="2"/>
        <w:spacing w:after="0" w:line="600" w:lineRule="exact"/>
        <w:ind w:firstLine="627" w:firstLineChars="196"/>
        <w:rPr>
          <w:rFonts w:hint="default" w:ascii="Times New Roman" w:hAnsi="Times New Roman" w:eastAsia="仿宋_GB2312" w:cs="Times New Roman"/>
        </w:rPr>
      </w:pPr>
      <w:r>
        <w:rPr>
          <w:rFonts w:hint="default" w:ascii="Times New Roman" w:hAnsi="Times New Roman" w:eastAsia="仿宋_GB2312" w:cs="Times New Roman"/>
        </w:rPr>
        <w:t>4.四川中小微外贸企业涉外法律服务普惠供给与供需对接法治化研究</w:t>
      </w:r>
    </w:p>
    <w:p w14:paraId="71D1D182">
      <w:pPr>
        <w:pStyle w:val="2"/>
        <w:spacing w:after="0" w:line="60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5.国资监管视角下川企“走出去”法律风险预警清单与负面清单构建研究</w:t>
      </w:r>
    </w:p>
    <w:p w14:paraId="7ADC2A7A">
      <w:pPr>
        <w:pStyle w:val="2"/>
        <w:spacing w:after="0" w:line="600" w:lineRule="exact"/>
        <w:ind w:firstLine="627" w:firstLineChars="196"/>
        <w:rPr>
          <w:rFonts w:hint="default" w:ascii="Times New Roman" w:hAnsi="Times New Roman" w:eastAsia="仿宋_GB2312" w:cs="Times New Roman"/>
        </w:rPr>
      </w:pPr>
      <w:r>
        <w:rPr>
          <w:rFonts w:hint="default" w:ascii="Times New Roman" w:hAnsi="Times New Roman" w:eastAsia="仿宋_GB2312" w:cs="Times New Roman"/>
        </w:rPr>
        <w:t>6.法治化营商环境建设中专业化商事法庭的功能定位与实践路径研究</w:t>
      </w:r>
    </w:p>
    <w:p w14:paraId="4C9F8517">
      <w:pPr>
        <w:pStyle w:val="2"/>
        <w:spacing w:after="0" w:line="600" w:lineRule="exact"/>
        <w:ind w:firstLine="627" w:firstLineChars="196"/>
        <w:rPr>
          <w:rFonts w:hint="default" w:ascii="Times New Roman" w:hAnsi="Times New Roman" w:eastAsia="仿宋_GB2312" w:cs="Times New Roman"/>
        </w:rPr>
      </w:pPr>
      <w:r>
        <w:rPr>
          <w:rFonts w:hint="default" w:ascii="Times New Roman" w:hAnsi="Times New Roman" w:eastAsia="仿宋_GB2312" w:cs="Times New Roman"/>
        </w:rPr>
        <w:t>7.非羁押强制措施数字化监管的制度建构</w:t>
      </w:r>
    </w:p>
    <w:p w14:paraId="51E58A7C">
      <w:pPr>
        <w:pStyle w:val="2"/>
        <w:spacing w:after="0" w:line="60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8.行政复议与行政诉讼衔接机制的法治化构建研究</w:t>
      </w:r>
    </w:p>
    <w:p w14:paraId="0B927D40">
      <w:pPr>
        <w:pStyle w:val="2"/>
        <w:spacing w:after="0" w:line="60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9.生态环境法典与四川省地方立法梳理</w:t>
      </w:r>
      <w:r>
        <w:rPr>
          <w:rFonts w:hint="default" w:ascii="Times New Roman" w:hAnsi="Times New Roman" w:eastAsia="仿宋_GB2312" w:cs="Times New Roman"/>
          <w:lang w:val="en-US" w:eastAsia="zh-CN"/>
        </w:rPr>
        <w:t>和</w:t>
      </w:r>
      <w:r>
        <w:rPr>
          <w:rFonts w:hint="default" w:ascii="Times New Roman" w:hAnsi="Times New Roman" w:eastAsia="仿宋_GB2312" w:cs="Times New Roman"/>
        </w:rPr>
        <w:t>重构</w:t>
      </w:r>
    </w:p>
    <w:p w14:paraId="2C1E92D1">
      <w:pPr>
        <w:pStyle w:val="2"/>
        <w:spacing w:after="0" w:line="600" w:lineRule="exact"/>
        <w:ind w:firstLine="627" w:firstLineChars="196"/>
        <w:rPr>
          <w:rFonts w:hint="default" w:ascii="Times New Roman" w:hAnsi="Times New Roman" w:eastAsia="仿宋_GB2312" w:cs="Times New Roman"/>
        </w:rPr>
      </w:pPr>
      <w:r>
        <w:rPr>
          <w:rFonts w:hint="default" w:ascii="Times New Roman" w:hAnsi="Times New Roman" w:eastAsia="仿宋_GB2312" w:cs="Times New Roman"/>
        </w:rPr>
        <w:t>10.</w:t>
      </w:r>
      <w:r>
        <w:rPr>
          <w:rFonts w:hint="default" w:ascii="Times New Roman" w:hAnsi="Times New Roman" w:eastAsia="仿宋_GB2312" w:cs="Times New Roman"/>
          <w:spacing w:val="-11"/>
        </w:rPr>
        <w:t>基于四川实践的生态保护补偿和生态修复的法律问题研究</w:t>
      </w:r>
    </w:p>
    <w:p w14:paraId="05B29D21">
      <w:pPr>
        <w:pStyle w:val="2"/>
        <w:spacing w:after="0" w:line="60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11.洗钱犯罪治理中资金分析证据的审查规则与制度构建</w:t>
      </w:r>
    </w:p>
    <w:p w14:paraId="17C6D80E">
      <w:pPr>
        <w:pStyle w:val="2"/>
        <w:spacing w:after="0" w:line="60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12.刑事证据法视野下大数据侦查的规则路径研究</w:t>
      </w:r>
    </w:p>
    <w:p w14:paraId="6F229FE1">
      <w:pPr>
        <w:pStyle w:val="2"/>
        <w:spacing w:after="0" w:line="60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13.非毒品类成瘾性物质滥用的法律规制困境与完善研究</w:t>
      </w:r>
    </w:p>
    <w:p w14:paraId="35372A21">
      <w:pPr>
        <w:pStyle w:val="2"/>
        <w:spacing w:after="0" w:line="60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14.面向L3级及以上自动驾驶汽车的责任主体认定与保险重构立法研究</w:t>
      </w:r>
    </w:p>
    <w:p w14:paraId="55D6944E">
      <w:pPr>
        <w:pStyle w:val="2"/>
        <w:spacing w:after="0" w:line="58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15.</w:t>
      </w:r>
      <w:r>
        <w:rPr>
          <w:rFonts w:hint="default" w:ascii="Times New Roman" w:hAnsi="Times New Roman" w:eastAsia="仿宋_GB2312" w:cs="Times New Roman"/>
          <w:spacing w:val="-11"/>
        </w:rPr>
        <w:t>人工智能应用场景下网络空间安全治理的法治化路径研究</w:t>
      </w:r>
    </w:p>
    <w:p w14:paraId="79309C0E">
      <w:pPr>
        <w:pStyle w:val="2"/>
        <w:spacing w:after="0" w:line="58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16.生成式人工智能对视听证据采信规则的挑战与应对</w:t>
      </w:r>
    </w:p>
    <w:p w14:paraId="5A07106E">
      <w:pPr>
        <w:pStyle w:val="2"/>
        <w:spacing w:after="0" w:line="58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17.平台用工涉算法规则条款效力判断问题研究</w:t>
      </w:r>
    </w:p>
    <w:p w14:paraId="129AB0AF">
      <w:pPr>
        <w:pStyle w:val="2"/>
        <w:spacing w:after="0" w:line="58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18.新就业群体的法律援助精准供给</w:t>
      </w:r>
    </w:p>
    <w:p w14:paraId="11106C20">
      <w:pPr>
        <w:pStyle w:val="2"/>
        <w:spacing w:after="0" w:line="58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19.数字经济下消费者数据权益的法律保护机制研究</w:t>
      </w:r>
    </w:p>
    <w:p w14:paraId="22BBD894">
      <w:pPr>
        <w:pStyle w:val="2"/>
        <w:spacing w:after="0" w:line="58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20.数字赋能行政执法协同监督机制创新研究</w:t>
      </w:r>
    </w:p>
    <w:p w14:paraId="7E75D159">
      <w:pPr>
        <w:pStyle w:val="2"/>
        <w:spacing w:after="0" w:line="58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21.“东数西算”战略背景下四川AI算力的法治保障研究</w:t>
      </w:r>
    </w:p>
    <w:p w14:paraId="2FFB8B74">
      <w:pPr>
        <w:pStyle w:val="2"/>
        <w:spacing w:after="0" w:line="58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22.监狱数智化转型的风险逻辑与治理路径研究</w:t>
      </w:r>
    </w:p>
    <w:p w14:paraId="047D2F84">
      <w:pPr>
        <w:pStyle w:val="2"/>
        <w:spacing w:after="0" w:line="58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23.网络犯罪管辖制度完善路径研究</w:t>
      </w:r>
    </w:p>
    <w:p w14:paraId="132F03F8">
      <w:pPr>
        <w:pStyle w:val="2"/>
        <w:spacing w:after="0" w:line="58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24.跨境电信网络诈骗中的证据互认与采信规则研究</w:t>
      </w:r>
    </w:p>
    <w:p w14:paraId="5B68C50A">
      <w:pPr>
        <w:pStyle w:val="2"/>
        <w:spacing w:after="0" w:line="580" w:lineRule="exact"/>
        <w:ind w:firstLine="640" w:firstLineChars="200"/>
        <w:rPr>
          <w:rFonts w:hint="default" w:ascii="Times New Roman" w:hAnsi="Times New Roman" w:eastAsia="仿宋_GB2312" w:cs="Times New Roman"/>
          <w:spacing w:val="-18"/>
        </w:rPr>
      </w:pPr>
      <w:r>
        <w:rPr>
          <w:rFonts w:hint="default" w:ascii="Times New Roman" w:hAnsi="Times New Roman" w:eastAsia="仿宋_GB2312" w:cs="Times New Roman"/>
        </w:rPr>
        <w:t>25.</w:t>
      </w:r>
      <w:r>
        <w:rPr>
          <w:rFonts w:hint="default" w:ascii="Times New Roman" w:hAnsi="Times New Roman" w:eastAsia="仿宋_GB2312" w:cs="Times New Roman"/>
          <w:spacing w:val="-18"/>
        </w:rPr>
        <w:t>网络社交媒体平台诱发未成年人犯罪的成因及预防对策研究</w:t>
      </w:r>
    </w:p>
    <w:p w14:paraId="45A74868">
      <w:pPr>
        <w:pStyle w:val="2"/>
        <w:spacing w:after="0" w:line="58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26.未成年人司法保护向社会治理延伸的路径研究</w:t>
      </w:r>
    </w:p>
    <w:p w14:paraId="611815FB">
      <w:pPr>
        <w:pStyle w:val="2"/>
        <w:spacing w:after="0" w:line="58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27.未成年人违法中监护人行政责任的构建路径研究</w:t>
      </w:r>
    </w:p>
    <w:p w14:paraId="3D798C98">
      <w:pPr>
        <w:pStyle w:val="2"/>
        <w:spacing w:after="0" w:line="58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28.协同共治视域下专门学校运行与司法程序衔接的法治化路径研究与构建</w:t>
      </w:r>
    </w:p>
    <w:p w14:paraId="2719DB38">
      <w:pPr>
        <w:pStyle w:val="2"/>
        <w:spacing w:after="0" w:line="580" w:lineRule="exact"/>
        <w:ind w:firstLine="640" w:firstLineChars="200"/>
        <w:rPr>
          <w:rFonts w:hint="default" w:ascii="Times New Roman" w:hAnsi="Times New Roman" w:eastAsia="仿宋_GB2312" w:cs="Times New Roman"/>
          <w:spacing w:val="-12"/>
        </w:rPr>
      </w:pPr>
      <w:r>
        <w:rPr>
          <w:rFonts w:hint="default" w:ascii="Times New Roman" w:hAnsi="Times New Roman" w:eastAsia="仿宋_GB2312" w:cs="Times New Roman"/>
        </w:rPr>
        <w:t>29.</w:t>
      </w:r>
      <w:r>
        <w:rPr>
          <w:rFonts w:hint="default" w:ascii="Times New Roman" w:hAnsi="Times New Roman" w:eastAsia="仿宋_GB2312" w:cs="Times New Roman"/>
          <w:spacing w:val="-12"/>
        </w:rPr>
        <w:t>信访法治化进程中“诉访循环”的形成及其治理路径研究</w:t>
      </w:r>
    </w:p>
    <w:p w14:paraId="0B52DFC3">
      <w:pPr>
        <w:pStyle w:val="2"/>
        <w:spacing w:after="0" w:line="58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30.</w:t>
      </w:r>
      <w:r>
        <w:rPr>
          <w:rFonts w:hint="default" w:ascii="Times New Roman" w:hAnsi="Times New Roman" w:eastAsia="仿宋_GB2312" w:cs="Times New Roman"/>
          <w:spacing w:val="-17"/>
        </w:rPr>
        <w:t>公共安全视频图像信息系统纳入公共基础设施管理政策研究</w:t>
      </w:r>
    </w:p>
    <w:p w14:paraId="2FB97127">
      <w:pPr>
        <w:pStyle w:val="2"/>
        <w:spacing w:after="0" w:line="580" w:lineRule="exact"/>
        <w:ind w:firstLine="640" w:firstLineChars="200"/>
        <w:rPr>
          <w:rFonts w:hint="default" w:ascii="Times New Roman" w:hAnsi="Times New Roman" w:eastAsia="仿宋_GB2312" w:cs="Times New Roman"/>
          <w:lang w:val="en-US" w:eastAsia="zh-CN"/>
        </w:rPr>
      </w:pPr>
      <w:r>
        <w:rPr>
          <w:rFonts w:hint="default" w:ascii="Times New Roman" w:hAnsi="Times New Roman" w:eastAsia="仿宋_GB2312" w:cs="Times New Roman"/>
        </w:rPr>
        <w:t>31.四川</w:t>
      </w:r>
      <w:bookmarkStart w:id="0" w:name="_GoBack"/>
      <w:bookmarkEnd w:id="0"/>
      <w:r>
        <w:rPr>
          <w:rFonts w:hint="default" w:ascii="Times New Roman" w:hAnsi="Times New Roman" w:eastAsia="仿宋_GB2312" w:cs="Times New Roman"/>
        </w:rPr>
        <w:t>省低空旅游法律风险识别与合规</w:t>
      </w:r>
      <w:r>
        <w:rPr>
          <w:rFonts w:hint="default" w:ascii="Times New Roman" w:hAnsi="Times New Roman" w:eastAsia="仿宋_GB2312" w:cs="Times New Roman"/>
          <w:lang w:val="en-US" w:eastAsia="zh-CN"/>
        </w:rPr>
        <w:t>研究</w:t>
      </w:r>
    </w:p>
    <w:p w14:paraId="413218F6">
      <w:pPr>
        <w:pStyle w:val="2"/>
        <w:spacing w:after="0" w:line="58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32.失独老人的遗产处理制度研究</w:t>
      </w:r>
    </w:p>
    <w:p w14:paraId="6F8E1986">
      <w:pPr>
        <w:pStyle w:val="2"/>
        <w:spacing w:after="0" w:line="580" w:lineRule="exact"/>
        <w:ind w:firstLine="640" w:firstLineChars="200"/>
        <w:rPr>
          <w:rFonts w:hint="default" w:ascii="Times New Roman" w:hAnsi="Times New Roman" w:eastAsia="仿宋_GB2312" w:cs="Times New Roman"/>
        </w:rPr>
      </w:pPr>
      <w:r>
        <w:rPr>
          <w:rFonts w:hint="default" w:ascii="Times New Roman" w:hAnsi="Times New Roman" w:eastAsia="仿宋_GB2312" w:cs="Times New Roman"/>
        </w:rPr>
        <w:t>33.地方政府规章立法后评估研究</w:t>
      </w:r>
    </w:p>
    <w:p w14:paraId="2BB83AAE">
      <w:pPr>
        <w:pStyle w:val="2"/>
        <w:spacing w:after="0" w:line="580" w:lineRule="exact"/>
        <w:ind w:firstLine="640" w:firstLineChars="200"/>
        <w:rPr>
          <w:rFonts w:hint="default" w:ascii="Times New Roman" w:hAnsi="Times New Roman" w:cs="Times New Roman"/>
        </w:rPr>
      </w:pPr>
      <w:r>
        <w:rPr>
          <w:rFonts w:hint="default" w:ascii="Times New Roman" w:hAnsi="Times New Roman" w:eastAsia="仿宋_GB2312" w:cs="Times New Roman"/>
        </w:rPr>
        <w:t>34.农村土地制度改革的法律保障与权益平衡研究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4074C69C-28A7-4795-A1F1-01257D24E7AC}"/>
  </w:font>
  <w:font w:name="楷体_GB2312">
    <w:altName w:val="楷体"/>
    <w:panose1 w:val="02010609030101010101"/>
    <w:charset w:val="86"/>
    <w:family w:val="modern"/>
    <w:pitch w:val="default"/>
    <w:sig w:usb0="00000000" w:usb1="00000000" w:usb2="00000010" w:usb3="00000000" w:csb0="00040000" w:csb1="00000000"/>
    <w:embedRegular r:id="rId2" w:fontKey="{EAF06ACD-CB5F-499B-A3D4-339FFE07BF18}"/>
  </w:font>
  <w:font w:name="方正小标宋简体">
    <w:panose1 w:val="02000000000000000000"/>
    <w:charset w:val="86"/>
    <w:family w:val="script"/>
    <w:pitch w:val="default"/>
    <w:sig w:usb0="00000001" w:usb1="08000000" w:usb2="00000000" w:usb3="00000000" w:csb0="00040000" w:csb1="00000000"/>
    <w:embedRegular r:id="rId3" w:fontKey="{2FA53F5E-B01C-45C8-A472-A66E2E25B05E}"/>
  </w:font>
  <w:font w:name="仿宋_GB2312">
    <w:altName w:val="仿宋"/>
    <w:panose1 w:val="02010609030101010101"/>
    <w:charset w:val="86"/>
    <w:family w:val="modern"/>
    <w:pitch w:val="default"/>
    <w:sig w:usb0="00000000" w:usb1="00000000" w:usb2="00000000" w:usb3="00000000" w:csb0="00040000" w:csb1="00000000"/>
    <w:embedRegular r:id="rId4" w:fontKey="{5639147F-8C92-4044-A290-7DAA9501652A}"/>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E00CFB"/>
    <w:rsid w:val="79E00C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2026-10-08T08:45:00Z</dcterms:created>
  <dc:creator>Sherry</dc:creator>
  <cp:lastModifiedBy>Sherry</cp:lastModifiedBy>
  <dcterms:modified xsi:type="dcterms:W3CDTF">2026-10-08T08:48:03Z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BF762E37CDAA414DBF45DA88FED6F6F6_11</vt:lpwstr>
  </property>
  <property fmtid="{D5CDD505-2E9C-101B-9397-08002B2CF9AE}" pid="4" name="KSOTemplateDocerSaveRecord">
    <vt:lpwstr>eyJoZGlkIjoiMzcyODMxYTE0ZTc0ZGU3Y2QwODc3MzYzN2Q1YmNiM2EiLCJ1c2VySWQiOiI2NzgzNDA5MzcifQ==</vt:lpwstr>
  </property>
</Properties>
</file>